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Resumo Executivo: Projeto Eco-Afinidade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Análise Preditiva de Engajamento em Sustentabilidade (ESG)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Outubro de 2024</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Modelo: XGBoost Classifier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Propósito: Otimizar a mobilização de Finanças Sustentáveis, direcionando ofertas de ESG de forma hiperpersonalizada.</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O Problema Resolvido: Baixa Eficiência e Alto Custo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Itaú possui metas ambiciosas de mobilização de  Trilhões de Reais em Finanças Sustentáveis até 2030. No entanto, campanhas de ESG baseadas em segmentação tradicional (apenas por renda ou idade) resultam em:</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Alto Custo de Aquisição (CA):</w:t>
      </w:r>
      <w:r w:rsidDel="00000000" w:rsidR="00000000" w:rsidRPr="00000000">
        <w:rPr>
          <w:rFonts w:ascii="Google Sans Text" w:cs="Google Sans Text" w:eastAsia="Google Sans Text" w:hAnsi="Google Sans Text"/>
          <w:i w:val="0"/>
          <w:color w:val="1b1c1d"/>
          <w:sz w:val="24"/>
          <w:szCs w:val="24"/>
          <w:rtl w:val="0"/>
        </w:rPr>
        <w:t xml:space="preserve"> Recursos de marketing desperdiçados em clientes com baixa afinidade com o tema.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Baixa Taxa de Conversão:</w:t>
      </w:r>
      <w:r w:rsidDel="00000000" w:rsidR="00000000" w:rsidRPr="00000000">
        <w:rPr>
          <w:rFonts w:ascii="Google Sans Text" w:cs="Google Sans Text" w:eastAsia="Google Sans Text" w:hAnsi="Google Sans Text"/>
          <w:i w:val="0"/>
          <w:color w:val="1b1c1d"/>
          <w:sz w:val="24"/>
          <w:szCs w:val="24"/>
          <w:rtl w:val="0"/>
        </w:rPr>
        <w:t xml:space="preserve"> Perda de tempo do cliente e risco de fadiga de comunicação.</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A Solução: Modelo Preditivo "Eco-Afinidade"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projeto "Eco-Afinidade" desenvolveu um modelo de Machine Learning (XGBoost) que calcula a </w:t>
      </w:r>
      <w:r w:rsidDel="00000000" w:rsidR="00000000" w:rsidRPr="00000000">
        <w:rPr>
          <w:rFonts w:ascii="Google Sans Text" w:cs="Google Sans Text" w:eastAsia="Google Sans Text" w:hAnsi="Google Sans Text"/>
          <w:b w:val="1"/>
          <w:i w:val="0"/>
          <w:color w:val="1b1c1d"/>
          <w:sz w:val="24"/>
          <w:szCs w:val="24"/>
          <w:rtl w:val="0"/>
        </w:rPr>
        <w:t xml:space="preserve">probabilidade (Score)</w:t>
      </w:r>
      <w:r w:rsidDel="00000000" w:rsidR="00000000" w:rsidRPr="00000000">
        <w:rPr>
          <w:rFonts w:ascii="Google Sans Text" w:cs="Google Sans Text" w:eastAsia="Google Sans Text" w:hAnsi="Google Sans Text"/>
          <w:i w:val="0"/>
          <w:color w:val="1b1c1d"/>
          <w:sz w:val="24"/>
          <w:szCs w:val="24"/>
          <w:rtl w:val="0"/>
        </w:rPr>
        <w:t xml:space="preserve"> de cada cliente aderir a uma iniciativa ESG específica (ex: Fundo Verde).</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Performance do Modelo (Threshold ):</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Interpretação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AUC-ROC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color w:val="1b1c1d"/>
                <w:sz w:val="20"/>
                <w:szCs w:val="20"/>
                <w:rtl w:val="0"/>
              </w:rPr>
              <w:t xml:space="preserve">0.6725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Boa capacidade de distinguir entre clientes que aderem e não aderem.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F1-Score (Adesão)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color w:val="1b1c1d"/>
                <w:sz w:val="20"/>
                <w:szCs w:val="20"/>
                <w:rtl w:val="0"/>
              </w:rPr>
              <w:t xml:space="preserve">0.62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 um excelente equilíbrio entre precisão (61%) e captura de oportunidades (6</w:t>
            </w:r>
            <w:r w:rsidDel="00000000" w:rsidR="00000000" w:rsidRPr="00000000">
              <w:rPr>
                <w:rFonts w:ascii="Google Sans Text" w:cs="Google Sans Text" w:eastAsia="Google Sans Text" w:hAnsi="Google Sans Text"/>
                <w:color w:val="1b1c1d"/>
                <w:sz w:val="20"/>
                <w:szCs w:val="20"/>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Principais Insights (Drivers de Adesão):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95"/>
        <w:gridCol w:w="3645"/>
        <w:gridCol w:w="2355"/>
        <w:gridCol w:w="2565"/>
        <w:tblGridChange w:id="0">
          <w:tblGrid>
            <w:gridCol w:w="795"/>
            <w:gridCol w:w="3645"/>
            <w:gridCol w:w="2355"/>
            <w:gridCol w:w="25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Importância Preditiva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Implicação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COMPARTILHA_OPEN_FINANCE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color w:val="1b1c1d"/>
                <w:sz w:val="20"/>
                <w:szCs w:val="20"/>
                <w:rtl w:val="0"/>
              </w:rPr>
              <w:t xml:space="preserve">25.2%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 afinidade digital (confiança e engajamento com Open Finance) é o preditor mais forte para ESG.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INTERESSE_CONTEUDO_ESG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color w:val="1b1c1d"/>
                <w:sz w:val="20"/>
                <w:szCs w:val="20"/>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consumo de conteúdo é um forte sinal comportamental de intenção de compra.</w:t>
            </w:r>
          </w:p>
        </w:tc>
      </w:tr>
    </w:tbl>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Impacto Estimado no Negócio Itaú</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base na capacidade do modelo de isolar clientes de alto potencial, estimamos os seguintes impactos: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2535"/>
        <w:gridCol w:w="3705"/>
        <w:tblGridChange w:id="0">
          <w:tblGrid>
            <w:gridCol w:w="3120"/>
            <w:gridCol w:w="2535"/>
            <w:gridCol w:w="37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KPI de Negócio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Impacto Estimado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Ação Estratégica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Redução do Custo de Aquisição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color w:val="1b1c1d"/>
                <w:sz w:val="20"/>
                <w:szCs w:val="20"/>
                <w:rtl w:val="0"/>
              </w:rPr>
              <w:t xml:space="preserv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Focar 80% do budget de marketing digital e apenas nos 25% dos clientes com maior Score de Adesão.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Aumento da Taxa de Conversão (Adesão)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color w:val="1b1c1d"/>
                <w:sz w:val="20"/>
                <w:szCs w:val="20"/>
                <w:rtl w:val="0"/>
              </w:rPr>
              <w:t xml:space="preserv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Otimização do </w:t>
            </w:r>
            <w:r w:rsidDel="00000000" w:rsidR="00000000" w:rsidRPr="00000000">
              <w:rPr>
                <w:rFonts w:ascii="Google Sans Text" w:cs="Google Sans Text" w:eastAsia="Google Sans Text" w:hAnsi="Google Sans Text"/>
                <w:i w:val="1"/>
                <w:color w:val="1b1c1d"/>
                <w:sz w:val="20"/>
                <w:szCs w:val="20"/>
                <w:shd w:fill="auto" w:val="clear"/>
                <w:rtl w:val="0"/>
              </w:rPr>
              <w:t xml:space="preserve">Recall</w:t>
            </w:r>
            <w:r w:rsidDel="00000000" w:rsidR="00000000" w:rsidRPr="00000000">
              <w:rPr>
                <w:rFonts w:ascii="Google Sans Text" w:cs="Google Sans Text" w:eastAsia="Google Sans Text" w:hAnsi="Google Sans Text"/>
                <w:i w:val="0"/>
                <w:color w:val="1b1c1d"/>
                <w:sz w:val="20"/>
                <w:szCs w:val="20"/>
                <w:shd w:fill="auto" w:val="clear"/>
                <w:rtl w:val="0"/>
              </w:rPr>
              <w:t xml:space="preserve"> para  63% (acertando mais clientes que realmente iriam aderir).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Estratégia ESG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Aceleração da Meta de 1 Tri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Adoção de uma estratégia "Open Finance-First" para produtos ESG. Clientes que compartilham dados devem ser os primeiros a receber ofertas.</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Conclusão:</w:t>
      </w:r>
      <w:r w:rsidDel="00000000" w:rsidR="00000000" w:rsidRPr="00000000">
        <w:rPr>
          <w:rFonts w:ascii="Google Sans Text" w:cs="Google Sans Text" w:eastAsia="Google Sans Text" w:hAnsi="Google Sans Text"/>
          <w:i w:val="0"/>
          <w:color w:val="1b1c1d"/>
          <w:sz w:val="24"/>
          <w:szCs w:val="24"/>
          <w:rtl w:val="0"/>
        </w:rPr>
        <w:t xml:space="preserve"> O projeto "Eco-Afinidade" transforma a estratégia de ESG de reativa para preditiva, garantindo que o Itaú não apenas promova a sustentabilidade, mas o faça com inteligência e máxima eficiência de capital.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